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r w:rsidRPr="00F02979">
        <w:rPr>
          <w:rFonts w:ascii="Arial" w:hAnsi="Arial" w:cs="Arial"/>
          <w:sz w:val="22"/>
          <w:szCs w:val="22"/>
        </w:rPr>
        <w:t>č.ú.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Sinčákem,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 xml:space="preserve">Ing. </w:t>
      </w:r>
      <w:r w:rsidR="00ED574A">
        <w:rPr>
          <w:rFonts w:ascii="Arial" w:hAnsi="Arial" w:cs="Arial"/>
          <w:sz w:val="22"/>
          <w:szCs w:val="22"/>
        </w:rPr>
        <w:t>Lenka Zach</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ú.: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D14BA0" w:rsidRDefault="00D14BA0" w:rsidP="00A24EA8">
      <w:pPr>
        <w:pStyle w:val="Nadpis2"/>
        <w:jc w:val="center"/>
        <w:rPr>
          <w:rFonts w:ascii="Arial" w:hAnsi="Arial" w:cs="Arial"/>
          <w:sz w:val="22"/>
          <w:szCs w:val="22"/>
        </w:rPr>
      </w:pPr>
    </w:p>
    <w:p w:rsidR="00ED574A" w:rsidRDefault="00ED574A" w:rsidP="00A24EA8">
      <w:pPr>
        <w:pStyle w:val="Nadpis2"/>
        <w:jc w:val="center"/>
        <w:rPr>
          <w:rFonts w:ascii="Arial" w:hAnsi="Arial" w:cs="Arial"/>
          <w:sz w:val="22"/>
          <w:szCs w:val="22"/>
        </w:rPr>
      </w:pPr>
    </w:p>
    <w:p w:rsidR="00ED574A" w:rsidRDefault="00ED574A" w:rsidP="00A24EA8">
      <w:pPr>
        <w:pStyle w:val="Nadpis2"/>
        <w:jc w:val="center"/>
        <w:rPr>
          <w:rFonts w:ascii="Arial" w:hAnsi="Arial" w:cs="Arial"/>
          <w:sz w:val="22"/>
          <w:szCs w:val="22"/>
        </w:rPr>
      </w:pPr>
    </w:p>
    <w:p w:rsidR="00ED574A" w:rsidRDefault="00ED574A" w:rsidP="00A24EA8">
      <w:pPr>
        <w:pStyle w:val="Nadpis2"/>
        <w:jc w:val="center"/>
        <w:rPr>
          <w:rFonts w:ascii="Arial" w:hAnsi="Arial" w:cs="Arial"/>
          <w:sz w:val="22"/>
          <w:szCs w:val="22"/>
        </w:rPr>
      </w:pPr>
    </w:p>
    <w:p w:rsidR="00ED574A" w:rsidRDefault="00ED574A" w:rsidP="00A24EA8">
      <w:pPr>
        <w:pStyle w:val="Nadpis2"/>
        <w:jc w:val="center"/>
        <w:rPr>
          <w:rFonts w:ascii="Arial" w:hAnsi="Arial" w:cs="Arial"/>
          <w:sz w:val="22"/>
          <w:szCs w:val="22"/>
        </w:rPr>
      </w:pPr>
    </w:p>
    <w:p w:rsidR="00ED574A" w:rsidRDefault="00ED574A" w:rsidP="00A24EA8">
      <w:pPr>
        <w:pStyle w:val="Nadpis2"/>
        <w:jc w:val="center"/>
        <w:rPr>
          <w:rFonts w:ascii="Arial" w:hAnsi="Arial" w:cs="Arial"/>
          <w:sz w:val="22"/>
          <w:szCs w:val="22"/>
        </w:rPr>
      </w:pPr>
    </w:p>
    <w:p w:rsidR="00ED574A" w:rsidRDefault="00ED574A"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lastRenderedPageBreak/>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ED574A" w:rsidRDefault="001114B3" w:rsidP="00ED574A">
      <w:pPr>
        <w:pStyle w:val="Normlnweb"/>
        <w:numPr>
          <w:ilvl w:val="0"/>
          <w:numId w:val="17"/>
        </w:numPr>
        <w:rPr>
          <w:rFonts w:ascii="Arial" w:hAnsi="Arial" w:cs="Arial"/>
          <w:bCs/>
          <w:snapToGrid w:val="0"/>
          <w:color w:val="000000"/>
          <w:sz w:val="22"/>
          <w:szCs w:val="22"/>
        </w:rPr>
      </w:pPr>
      <w:r w:rsidRPr="00ED574A">
        <w:rPr>
          <w:rFonts w:ascii="Arial" w:hAnsi="Arial" w:cs="Arial"/>
          <w:sz w:val="22"/>
          <w:szCs w:val="22"/>
          <w:u w:val="single"/>
        </w:rPr>
        <w:t xml:space="preserve">Předmětem </w:t>
      </w:r>
      <w:r w:rsidR="009B0820" w:rsidRPr="00ED574A">
        <w:rPr>
          <w:rFonts w:ascii="Arial" w:hAnsi="Arial" w:cs="Arial"/>
          <w:sz w:val="22"/>
          <w:szCs w:val="22"/>
          <w:u w:val="single"/>
        </w:rPr>
        <w:t>smlouvy je zhotovení díla</w:t>
      </w:r>
      <w:r w:rsidR="009B0820" w:rsidRPr="00ED574A">
        <w:rPr>
          <w:rFonts w:ascii="Arial" w:hAnsi="Arial" w:cs="Arial"/>
          <w:sz w:val="22"/>
          <w:szCs w:val="22"/>
        </w:rPr>
        <w:t xml:space="preserve">: </w:t>
      </w:r>
      <w:r w:rsidR="00ED574A" w:rsidRPr="0091119F">
        <w:rPr>
          <w:rFonts w:ascii="Arial" w:hAnsi="Arial" w:cs="Arial"/>
          <w:b/>
          <w:sz w:val="22"/>
          <w:szCs w:val="22"/>
        </w:rPr>
        <w:t>„</w:t>
      </w:r>
      <w:r w:rsidR="00ED574A" w:rsidRPr="00ED574A">
        <w:rPr>
          <w:rFonts w:ascii="Arial" w:hAnsi="Arial" w:cs="Arial"/>
          <w:b/>
          <w:sz w:val="22"/>
          <w:szCs w:val="22"/>
        </w:rPr>
        <w:t>Jaselská, Praha 6, č. akce 999809</w:t>
      </w:r>
      <w:r w:rsidR="00ED574A" w:rsidRPr="0091119F">
        <w:rPr>
          <w:rFonts w:ascii="Arial" w:hAnsi="Arial" w:cs="Arial"/>
          <w:b/>
          <w:sz w:val="22"/>
          <w:szCs w:val="22"/>
        </w:rPr>
        <w:t>“</w:t>
      </w:r>
      <w:r w:rsidR="00740755" w:rsidRPr="00ED574A">
        <w:rPr>
          <w:rFonts w:ascii="Arial" w:hAnsi="Arial" w:cs="Arial"/>
          <w:b/>
          <w:sz w:val="22"/>
          <w:szCs w:val="22"/>
        </w:rPr>
        <w:t xml:space="preserve"> </w:t>
      </w:r>
      <w:r w:rsidR="009F136C" w:rsidRPr="00ED574A">
        <w:rPr>
          <w:rFonts w:ascii="Arial" w:hAnsi="Arial" w:cs="Arial"/>
          <w:b/>
          <w:sz w:val="22"/>
          <w:szCs w:val="22"/>
        </w:rPr>
        <w:t xml:space="preserve"> </w:t>
      </w:r>
      <w:r w:rsidR="00D14BA0" w:rsidRPr="00ED574A">
        <w:rPr>
          <w:rFonts w:ascii="Arial" w:hAnsi="Arial" w:cs="Arial"/>
          <w:sz w:val="22"/>
          <w:szCs w:val="22"/>
        </w:rPr>
        <w:t xml:space="preserve">dle projektové dokumentace pro </w:t>
      </w:r>
      <w:r w:rsidR="00982AE4" w:rsidRPr="00ED574A">
        <w:rPr>
          <w:rFonts w:ascii="Arial" w:hAnsi="Arial" w:cs="Arial"/>
          <w:sz w:val="22"/>
          <w:szCs w:val="22"/>
        </w:rPr>
        <w:t xml:space="preserve">provádění stavby (PDPS), zpracovaná společností </w:t>
      </w:r>
      <w:r w:rsidR="00ED574A">
        <w:rPr>
          <w:rFonts w:ascii="Arial" w:hAnsi="Arial" w:cs="Arial"/>
          <w:bCs/>
          <w:snapToGrid w:val="0"/>
          <w:color w:val="000000"/>
          <w:sz w:val="22"/>
          <w:szCs w:val="22"/>
        </w:rPr>
        <w:t>D-PLUS PROJEKTOVÁ A INŽENÝRSKÁ a.s., Sokolovská 16/45 A, 186 00 Praha 8.</w:t>
      </w:r>
    </w:p>
    <w:p w:rsidR="00B46AD0" w:rsidRPr="00ED574A" w:rsidRDefault="00ED574A" w:rsidP="00ED574A">
      <w:pPr>
        <w:spacing w:before="240" w:line="240" w:lineRule="exact"/>
        <w:jc w:val="both"/>
        <w:rPr>
          <w:rFonts w:ascii="Arial" w:hAnsi="Arial" w:cs="Arial"/>
          <w:sz w:val="22"/>
          <w:szCs w:val="22"/>
        </w:rPr>
      </w:pPr>
      <w:r>
        <w:rPr>
          <w:rFonts w:ascii="Arial" w:hAnsi="Arial" w:cs="Arial"/>
          <w:sz w:val="22"/>
          <w:szCs w:val="22"/>
        </w:rPr>
        <w:t xml:space="preserve">       </w:t>
      </w:r>
      <w:r w:rsidR="00B46AD0" w:rsidRPr="00ED574A">
        <w:rPr>
          <w:rFonts w:ascii="Arial" w:hAnsi="Arial" w:cs="Arial"/>
          <w:sz w:val="22"/>
          <w:szCs w:val="22"/>
        </w:rPr>
        <w:t>Dílo je vymezeno následovně:</w:t>
      </w:r>
    </w:p>
    <w:p w:rsidR="00130ADB" w:rsidRPr="00F02979" w:rsidRDefault="00130ADB" w:rsidP="00E60415">
      <w:pPr>
        <w:pStyle w:val="Odstavecseseznamem"/>
        <w:spacing w:before="120"/>
        <w:ind w:left="426"/>
        <w:jc w:val="both"/>
        <w:rPr>
          <w:rFonts w:ascii="Arial" w:hAnsi="Arial" w:cs="Arial"/>
          <w:sz w:val="22"/>
          <w:szCs w:val="22"/>
        </w:rPr>
      </w:pPr>
    </w:p>
    <w:p w:rsidR="00ED574A" w:rsidRDefault="00ED574A" w:rsidP="00ED574A">
      <w:pPr>
        <w:pStyle w:val="Zhlav"/>
        <w:tabs>
          <w:tab w:val="left" w:pos="426"/>
        </w:tabs>
        <w:ind w:left="426"/>
        <w:jc w:val="both"/>
        <w:rPr>
          <w:rFonts w:ascii="Arial" w:hAnsi="Arial" w:cs="Arial"/>
          <w:sz w:val="22"/>
          <w:szCs w:val="22"/>
          <w:lang w:val="en-GB"/>
        </w:rPr>
      </w:pPr>
      <w:r>
        <w:rPr>
          <w:rFonts w:ascii="Arial" w:hAnsi="Arial" w:cs="Arial"/>
          <w:sz w:val="22"/>
          <w:szCs w:val="22"/>
        </w:rPr>
        <w:t xml:space="preserve">Předmětem plnění je celková rekonstrukce ulice Jaselská v úseku Dejvická – Bubenečská v Praze 6. </w:t>
      </w:r>
      <w:r>
        <w:rPr>
          <w:rFonts w:ascii="Arial" w:hAnsi="Arial" w:cs="Arial"/>
          <w:sz w:val="22"/>
          <w:szCs w:val="22"/>
          <w:lang w:val="en-GB"/>
        </w:rPr>
        <w:t>Bude provedena výměna konstrukce vozovky a chodníků a sanace podkladních vrstev. Vozovka bude dlážděna velkou žulovou dlažbou, chodníky budou dlážděné řezanou mozaikou. Zvýšená křižovatková plocha bude z asfaltového betonu. Dojde k rekonstrukci 7 ks stávajících uličních vpustí ( dále jen “UV”) a výstavbě 12 ks nových UV. Ulice bude doplněna o nově vysazenou zeleň. Je navržena zvýšená křižovatková plocha ulic Jaselská x Eliášova.</w:t>
      </w:r>
    </w:p>
    <w:p w:rsidR="008B3AC7" w:rsidRPr="00BB14F3" w:rsidRDefault="00982AE4" w:rsidP="00ED574A">
      <w:pPr>
        <w:spacing w:before="120"/>
        <w:ind w:left="426"/>
        <w:jc w:val="both"/>
        <w:rPr>
          <w:rFonts w:ascii="Arial" w:hAnsi="Arial" w:cs="Arial"/>
          <w:sz w:val="22"/>
          <w:szCs w:val="22"/>
        </w:rPr>
      </w:pPr>
      <w:r>
        <w:rPr>
          <w:rFonts w:ascii="Arial" w:hAnsi="Arial" w:cs="Arial"/>
          <w:sz w:val="22"/>
          <w:szCs w:val="22"/>
        </w:rPr>
        <w:tab/>
      </w:r>
    </w:p>
    <w:p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rsidR="00330985" w:rsidRPr="00BB14F3" w:rsidRDefault="00330985" w:rsidP="00A24EA8">
      <w:pPr>
        <w:ind w:left="426"/>
        <w:rPr>
          <w:rFonts w:ascii="Arial" w:hAnsi="Arial" w:cs="Arial"/>
          <w:sz w:val="22"/>
          <w:szCs w:val="22"/>
        </w:rPr>
      </w:pPr>
    </w:p>
    <w:p w:rsidR="00330985" w:rsidRPr="0091119F" w:rsidRDefault="00330985" w:rsidP="00E00F8D">
      <w:pPr>
        <w:numPr>
          <w:ilvl w:val="0"/>
          <w:numId w:val="20"/>
        </w:numPr>
        <w:tabs>
          <w:tab w:val="clear" w:pos="360"/>
          <w:tab w:val="num" w:pos="-468"/>
          <w:tab w:val="num" w:pos="786"/>
        </w:tabs>
        <w:ind w:left="709" w:hanging="283"/>
        <w:rPr>
          <w:rFonts w:ascii="Arial" w:hAnsi="Arial" w:cs="Arial"/>
          <w:sz w:val="22"/>
          <w:szCs w:val="22"/>
        </w:rPr>
      </w:pPr>
      <w:r w:rsidRPr="0091119F">
        <w:rPr>
          <w:rFonts w:ascii="Arial" w:hAnsi="Arial" w:cs="Arial"/>
          <w:sz w:val="22"/>
          <w:szCs w:val="22"/>
        </w:rPr>
        <w:t>projekt a realizace DIO,</w:t>
      </w:r>
    </w:p>
    <w:p w:rsidR="00330985" w:rsidRPr="0091119F" w:rsidRDefault="00330985" w:rsidP="00E00F8D">
      <w:pPr>
        <w:numPr>
          <w:ilvl w:val="0"/>
          <w:numId w:val="20"/>
        </w:numPr>
        <w:tabs>
          <w:tab w:val="clear" w:pos="360"/>
          <w:tab w:val="num" w:pos="-1035"/>
          <w:tab w:val="num" w:pos="786"/>
        </w:tabs>
        <w:ind w:left="709" w:hanging="283"/>
        <w:rPr>
          <w:rFonts w:ascii="Arial" w:hAnsi="Arial" w:cs="Arial"/>
          <w:sz w:val="22"/>
          <w:szCs w:val="22"/>
        </w:rPr>
      </w:pPr>
      <w:r w:rsidRPr="0091119F">
        <w:rPr>
          <w:rFonts w:ascii="Arial" w:hAnsi="Arial" w:cs="Arial"/>
          <w:sz w:val="22"/>
          <w:szCs w:val="22"/>
        </w:rPr>
        <w:t>měření hladiny hluku   před  zahájením a po dokončení stavby dle požadavků Hygienické stanice hl. m. Prahy,</w:t>
      </w:r>
    </w:p>
    <w:p w:rsidR="00330985" w:rsidRPr="0091119F"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sidRPr="0091119F">
        <w:rPr>
          <w:rFonts w:ascii="Arial" w:hAnsi="Arial" w:cs="Arial"/>
          <w:sz w:val="22"/>
          <w:szCs w:val="22"/>
        </w:rPr>
        <w:t>zpracování podrobné pasportizace přilehlých objektů (domů, oplocení apod.) a následné repasportizace po skončení stavby.</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ED574A">
        <w:rPr>
          <w:rFonts w:ascii="Arial" w:hAnsi="Arial" w:cs="Arial"/>
          <w:sz w:val="22"/>
          <w:szCs w:val="22"/>
        </w:rPr>
        <w:t>Praha 6, ulice Jaselská</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841B76">
      <w:pPr>
        <w:pStyle w:val="Odstavecseseznamem"/>
        <w:ind w:left="426"/>
        <w:rPr>
          <w:rFonts w:ascii="Arial" w:hAnsi="Arial" w:cs="Arial"/>
          <w:sz w:val="22"/>
          <w:szCs w:val="22"/>
        </w:rPr>
      </w:pPr>
    </w:p>
    <w:p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841B76">
      <w:pPr>
        <w:pStyle w:val="Odstavecseseznamem"/>
        <w:ind w:left="426"/>
        <w:rPr>
          <w:rFonts w:ascii="Arial" w:hAnsi="Arial" w:cs="Arial"/>
          <w:sz w:val="22"/>
          <w:szCs w:val="22"/>
        </w:rPr>
      </w:pPr>
    </w:p>
    <w:p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330985" w:rsidRDefault="00B46AD0" w:rsidP="008B3AC7">
      <w:pPr>
        <w:tabs>
          <w:tab w:val="num" w:pos="426"/>
        </w:tabs>
        <w:ind w:left="426" w:hanging="426"/>
        <w:jc w:val="both"/>
        <w:outlineLvl w:val="1"/>
        <w:rPr>
          <w:rFonts w:ascii="Arial" w:hAnsi="Arial" w:cs="Arial"/>
          <w:bCs/>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rsidR="00330985" w:rsidRDefault="00330985" w:rsidP="00F70AB0">
      <w:pPr>
        <w:pStyle w:val="Odstavecseseznamem"/>
        <w:ind w:left="426"/>
        <w:jc w:val="both"/>
        <w:outlineLvl w:val="1"/>
        <w:rPr>
          <w:rFonts w:ascii="Arial" w:hAnsi="Arial" w:cs="Arial"/>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26299C" w:rsidRPr="0091119F" w:rsidRDefault="0026299C" w:rsidP="0026299C">
      <w:pPr>
        <w:pStyle w:val="Odstavecseseznamem"/>
        <w:numPr>
          <w:ilvl w:val="0"/>
          <w:numId w:val="16"/>
        </w:numPr>
        <w:ind w:left="426" w:hanging="426"/>
        <w:jc w:val="both"/>
        <w:outlineLvl w:val="1"/>
        <w:rPr>
          <w:rFonts w:ascii="Arial" w:hAnsi="Arial" w:cs="Arial"/>
          <w:sz w:val="22"/>
          <w:szCs w:val="22"/>
        </w:rPr>
      </w:pPr>
      <w:r w:rsidRPr="0091119F">
        <w:rPr>
          <w:rFonts w:ascii="Arial" w:hAnsi="Arial" w:cs="Arial"/>
          <w:sz w:val="22"/>
          <w:szCs w:val="22"/>
        </w:rPr>
        <w:t>Za účelem dosažení maximální efektivity a rychlosti prováděných prací, které vyžadují omezení provozu, zhotovitel zajistí, aby tyto práce probíhaly ve d</w:t>
      </w:r>
      <w:bookmarkStart w:id="0" w:name="_GoBack"/>
      <w:bookmarkEnd w:id="0"/>
      <w:r w:rsidRPr="0091119F">
        <w:rPr>
          <w:rFonts w:ascii="Arial" w:hAnsi="Arial" w:cs="Arial"/>
          <w:sz w:val="22"/>
          <w:szCs w:val="22"/>
        </w:rPr>
        <w:t>vousměnném pracovním režimu  s max. využitím pracovní doby</w:t>
      </w:r>
      <w:r w:rsidR="00ED574A" w:rsidRPr="0091119F">
        <w:rPr>
          <w:rFonts w:ascii="Arial" w:hAnsi="Arial" w:cs="Arial"/>
          <w:sz w:val="22"/>
          <w:szCs w:val="22"/>
        </w:rPr>
        <w:t xml:space="preserve">. </w:t>
      </w:r>
      <w:r w:rsidRPr="0091119F">
        <w:rPr>
          <w:rFonts w:ascii="Arial" w:hAnsi="Arial" w:cs="Arial"/>
          <w:sz w:val="22"/>
          <w:szCs w:val="22"/>
        </w:rPr>
        <w:t>Této podmínce odpovídá i přiložený harmonogram provádění prací.</w:t>
      </w:r>
    </w:p>
    <w:p w:rsidR="00330985" w:rsidRPr="00330985" w:rsidRDefault="00330985" w:rsidP="00330985">
      <w:pPr>
        <w:pStyle w:val="Odstavecseseznamem"/>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ust.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lastRenderedPageBreak/>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w:t>
      </w:r>
      <w:r w:rsidRPr="00B47FC9">
        <w:rPr>
          <w:rFonts w:ascii="Arial" w:hAnsi="Arial" w:cs="Arial"/>
          <w:bCs/>
          <w:sz w:val="22"/>
          <w:szCs w:val="22"/>
        </w:rPr>
        <w:lastRenderedPageBreak/>
        <w:t>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330985" w:rsidRPr="00330985" w:rsidRDefault="00330985" w:rsidP="00330985">
      <w:pPr>
        <w:pStyle w:val="Odstavecseseznamem"/>
        <w:tabs>
          <w:tab w:val="left" w:pos="284"/>
        </w:tabs>
        <w:ind w:left="284"/>
        <w:jc w:val="both"/>
        <w:outlineLvl w:val="1"/>
        <w:rPr>
          <w:rFonts w:ascii="Arial" w:hAnsi="Arial" w:cs="Arial"/>
          <w:sz w:val="22"/>
          <w:szCs w:val="22"/>
        </w:rPr>
      </w:pPr>
    </w:p>
    <w:p w:rsidR="00330985" w:rsidRPr="00330985" w:rsidRDefault="00330985" w:rsidP="00330985">
      <w:pPr>
        <w:tabs>
          <w:tab w:val="left" w:pos="284"/>
        </w:tabs>
        <w:jc w:val="both"/>
        <w:outlineLvl w:val="1"/>
        <w:rPr>
          <w:rFonts w:ascii="Arial" w:hAnsi="Arial" w:cs="Arial"/>
          <w:sz w:val="22"/>
          <w:szCs w:val="22"/>
        </w:rPr>
      </w:pP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Default="00B47FC9" w:rsidP="000E332D">
      <w:pPr>
        <w:pStyle w:val="Nadpis2"/>
        <w:spacing w:before="120"/>
        <w:jc w:val="center"/>
        <w:rPr>
          <w:rFonts w:ascii="Arial" w:hAnsi="Arial" w:cs="Arial"/>
          <w:sz w:val="22"/>
          <w:szCs w:val="22"/>
        </w:rPr>
      </w:pPr>
    </w:p>
    <w:p w:rsidR="00ED574A" w:rsidRDefault="00ED574A" w:rsidP="000E332D">
      <w:pPr>
        <w:pStyle w:val="Nadpis2"/>
        <w:spacing w:before="120"/>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lastRenderedPageBreak/>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v počtu 3 paré</w:t>
      </w:r>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r w:rsidR="002C3CC7" w:rsidRPr="00F02979">
        <w:rPr>
          <w:rFonts w:ascii="Arial" w:hAnsi="Arial" w:cs="Arial"/>
          <w:sz w:val="22"/>
          <w:szCs w:val="22"/>
        </w:rPr>
        <w:t>inf.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vyjádření správců inž.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lastRenderedPageBreak/>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DIRu,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DIRu k řádnému dokončení práce.</w:t>
      </w:r>
    </w:p>
    <w:p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4A0C11">
      <w:pPr>
        <w:pStyle w:val="Zkladntext3"/>
        <w:numPr>
          <w:ilvl w:val="1"/>
          <w:numId w:val="6"/>
        </w:numPr>
        <w:spacing w:before="120"/>
        <w:ind w:left="426" w:hanging="426"/>
        <w:rPr>
          <w:rFonts w:cs="Arial"/>
          <w:sz w:val="22"/>
          <w:szCs w:val="22"/>
        </w:rPr>
      </w:pPr>
      <w:r w:rsidRPr="00CB1B23">
        <w:rPr>
          <w:rFonts w:cs="Arial"/>
          <w:sz w:val="22"/>
          <w:szCs w:val="22"/>
        </w:rPr>
        <w:t xml:space="preserve">Před zahájením stavby předá zhotovitel objednateli vyhotovení realizační dokumentace stavby (RDS) - </w:t>
      </w:r>
      <w:r w:rsidR="00CE190E" w:rsidRPr="00CB1B23">
        <w:rPr>
          <w:rFonts w:cs="Arial"/>
          <w:sz w:val="22"/>
          <w:szCs w:val="22"/>
        </w:rPr>
        <w:t>3</w:t>
      </w:r>
      <w:r w:rsidRPr="00CB1B23">
        <w:rPr>
          <w:rFonts w:cs="Arial"/>
          <w:sz w:val="22"/>
          <w:szCs w:val="22"/>
        </w:rPr>
        <w:t xml:space="preserve"> tištěn</w:t>
      </w:r>
      <w:r w:rsidR="00CE190E" w:rsidRPr="00CB1B23">
        <w:rPr>
          <w:rFonts w:cs="Arial"/>
          <w:sz w:val="22"/>
          <w:szCs w:val="22"/>
        </w:rPr>
        <w:t>á</w:t>
      </w:r>
      <w:r w:rsidRPr="00CB1B23">
        <w:rPr>
          <w:rFonts w:cs="Arial"/>
          <w:sz w:val="22"/>
          <w:szCs w:val="22"/>
        </w:rPr>
        <w:t xml:space="preserve"> paré + 3x elektronicky ve formátu DOC, XLS, PDF a DWG a pasportizaci objektů</w:t>
      </w:r>
      <w:r w:rsidR="00BB3CDE" w:rsidRPr="00CB1B23">
        <w:rPr>
          <w:rFonts w:cs="Arial"/>
          <w:sz w:val="22"/>
          <w:szCs w:val="22"/>
        </w:rPr>
        <w:t>.</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5D61DB">
        <w:rPr>
          <w:rFonts w:cs="Arial"/>
          <w:snapToGrid w:val="0"/>
          <w:color w:val="000000"/>
          <w:sz w:val="22"/>
          <w:szCs w:val="22"/>
        </w:rPr>
        <w:t xml:space="preserve"> objednateli </w:t>
      </w:r>
      <w:r w:rsidRPr="00CB1B23">
        <w:rPr>
          <w:rFonts w:cs="Arial"/>
          <w:snapToGrid w:val="0"/>
          <w:color w:val="000000"/>
          <w:sz w:val="22"/>
          <w:szCs w:val="22"/>
        </w:rPr>
        <w:t>na odd</w:t>
      </w:r>
      <w:r w:rsidR="002C3CC7" w:rsidRPr="00CB1B23">
        <w:rPr>
          <w:rFonts w:cs="Arial"/>
          <w:snapToGrid w:val="0"/>
          <w:color w:val="000000"/>
          <w:sz w:val="22"/>
          <w:szCs w:val="22"/>
        </w:rPr>
        <w:t>. inf.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w:t>
      </w:r>
      <w:r w:rsidRPr="00F02979">
        <w:rPr>
          <w:rFonts w:ascii="Arial" w:hAnsi="Arial" w:cs="Arial"/>
          <w:sz w:val="22"/>
          <w:szCs w:val="22"/>
          <w:lang w:val="x-none" w:eastAsia="x-none"/>
        </w:rPr>
        <w:lastRenderedPageBreak/>
        <w:t xml:space="preserve">základě takové pojistné smlouvy činil pro jednu škodnou událost minimálně </w:t>
      </w:r>
      <w:r w:rsidR="00ED574A">
        <w:rPr>
          <w:rFonts w:ascii="Arial" w:hAnsi="Arial" w:cs="Arial"/>
          <w:b/>
          <w:sz w:val="22"/>
          <w:szCs w:val="22"/>
          <w:lang w:eastAsia="x-none"/>
        </w:rPr>
        <w:t>3</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9B0820" w:rsidRPr="00ED574A"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ED574A">
        <w:rPr>
          <w:rFonts w:ascii="Arial" w:hAnsi="Arial" w:cs="Arial"/>
          <w:sz w:val="22"/>
          <w:szCs w:val="22"/>
        </w:rPr>
        <w:t xml:space="preserve">Tato smlouva je </w:t>
      </w:r>
      <w:r w:rsidR="00375557" w:rsidRPr="00ED574A">
        <w:rPr>
          <w:rFonts w:ascii="Arial" w:hAnsi="Arial" w:cs="Arial"/>
          <w:sz w:val="22"/>
          <w:szCs w:val="22"/>
        </w:rPr>
        <w:t xml:space="preserve">sepsána </w:t>
      </w:r>
      <w:r w:rsidRPr="00ED574A">
        <w:rPr>
          <w:rFonts w:ascii="Arial" w:hAnsi="Arial" w:cs="Arial"/>
          <w:sz w:val="22"/>
          <w:szCs w:val="22"/>
        </w:rPr>
        <w:t>v</w:t>
      </w:r>
      <w:r w:rsidR="009A112B" w:rsidRPr="00ED574A">
        <w:rPr>
          <w:rFonts w:ascii="Arial" w:hAnsi="Arial" w:cs="Arial"/>
          <w:sz w:val="22"/>
          <w:szCs w:val="22"/>
        </w:rPr>
        <w:t xml:space="preserve"> pěti</w:t>
      </w:r>
      <w:r w:rsidRPr="00ED574A">
        <w:rPr>
          <w:rFonts w:ascii="Arial" w:hAnsi="Arial" w:cs="Arial"/>
          <w:sz w:val="22"/>
          <w:szCs w:val="22"/>
        </w:rPr>
        <w:t xml:space="preserve"> </w:t>
      </w:r>
      <w:r w:rsidR="00375557" w:rsidRPr="00ED574A">
        <w:rPr>
          <w:rFonts w:ascii="Arial" w:hAnsi="Arial" w:cs="Arial"/>
          <w:sz w:val="22"/>
          <w:szCs w:val="22"/>
        </w:rPr>
        <w:t>vyhotoveních</w:t>
      </w:r>
      <w:r w:rsidRPr="00ED574A">
        <w:rPr>
          <w:rFonts w:ascii="Arial" w:hAnsi="Arial" w:cs="Arial"/>
          <w:sz w:val="22"/>
          <w:szCs w:val="22"/>
        </w:rPr>
        <w:t>, z nichž každ</w:t>
      </w:r>
      <w:r w:rsidR="00375557" w:rsidRPr="00ED574A">
        <w:rPr>
          <w:rFonts w:ascii="Arial" w:hAnsi="Arial" w:cs="Arial"/>
          <w:sz w:val="22"/>
          <w:szCs w:val="22"/>
        </w:rPr>
        <w:t>é</w:t>
      </w:r>
      <w:r w:rsidR="00ED574A" w:rsidRPr="00ED574A">
        <w:rPr>
          <w:rFonts w:ascii="Arial" w:hAnsi="Arial" w:cs="Arial"/>
          <w:sz w:val="22"/>
          <w:szCs w:val="22"/>
        </w:rPr>
        <w:t xml:space="preserve"> má platnost originálu, </w:t>
      </w:r>
      <w:r w:rsidR="00ED574A" w:rsidRPr="00ED574A">
        <w:rPr>
          <w:rFonts w:ascii="Arial" w:hAnsi="Arial"/>
          <w:sz w:val="22"/>
          <w:szCs w:val="22"/>
        </w:rPr>
        <w:t xml:space="preserve"> objednatel obdrží 3 vyhotovení a zhotovitel 2 vyhotovení.</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w:t>
      </w:r>
      <w:r w:rsidRPr="00B47FC9">
        <w:rPr>
          <w:rFonts w:ascii="Arial" w:hAnsi="Arial" w:cs="Arial"/>
          <w:sz w:val="22"/>
          <w:szCs w:val="22"/>
        </w:rPr>
        <w:lastRenderedPageBreak/>
        <w:t>podle  zák.č. 418/2011 Sb., nebo nevznikla trestní odpovědnost  jednajících osob podle zák.č.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CB5677">
      <w:pPr>
        <w:ind w:left="709"/>
        <w:jc w:val="both"/>
        <w:rPr>
          <w:rFonts w:ascii="Arial" w:hAnsi="Arial" w:cs="Arial"/>
          <w:sz w:val="22"/>
          <w:szCs w:val="22"/>
          <w:highlight w:val="yellow"/>
        </w:rPr>
      </w:pPr>
    </w:p>
    <w:p w:rsidR="00CB5677" w:rsidRDefault="00CB5677" w:rsidP="00596D1C">
      <w:pPr>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E2" w:rsidRDefault="000024E2">
      <w:r>
        <w:separator/>
      </w:r>
    </w:p>
  </w:endnote>
  <w:endnote w:type="continuationSeparator" w:id="0">
    <w:p w:rsidR="000024E2" w:rsidRDefault="000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B3017C">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E2" w:rsidRDefault="000024E2">
      <w:r>
        <w:separator/>
      </w:r>
    </w:p>
  </w:footnote>
  <w:footnote w:type="continuationSeparator" w:id="0">
    <w:p w:rsidR="000024E2" w:rsidRDefault="0000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2"/>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4"/>
  </w:num>
  <w:num w:numId="11">
    <w:abstractNumId w:val="15"/>
  </w:num>
  <w:num w:numId="12">
    <w:abstractNumId w:val="13"/>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5"/>
  </w:num>
  <w:num w:numId="18">
    <w:abstractNumId w:val="17"/>
  </w:num>
  <w:num w:numId="19">
    <w:abstractNumId w:val="0"/>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4E2"/>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361F7"/>
    <w:rsid w:val="00440AF2"/>
    <w:rsid w:val="00441EA9"/>
    <w:rsid w:val="00442275"/>
    <w:rsid w:val="00451736"/>
    <w:rsid w:val="00453739"/>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643A"/>
    <w:rsid w:val="0073652B"/>
    <w:rsid w:val="00740755"/>
    <w:rsid w:val="00743E74"/>
    <w:rsid w:val="007479AF"/>
    <w:rsid w:val="00753696"/>
    <w:rsid w:val="00753D0E"/>
    <w:rsid w:val="00766614"/>
    <w:rsid w:val="0077513D"/>
    <w:rsid w:val="00787F39"/>
    <w:rsid w:val="00796D57"/>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7646F"/>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119F"/>
    <w:rsid w:val="009127F2"/>
    <w:rsid w:val="00913DAB"/>
    <w:rsid w:val="00915271"/>
    <w:rsid w:val="0092137B"/>
    <w:rsid w:val="009253AD"/>
    <w:rsid w:val="00926589"/>
    <w:rsid w:val="0093068D"/>
    <w:rsid w:val="00933A30"/>
    <w:rsid w:val="00941BAE"/>
    <w:rsid w:val="00942974"/>
    <w:rsid w:val="00944EFE"/>
    <w:rsid w:val="00945E1C"/>
    <w:rsid w:val="00947F78"/>
    <w:rsid w:val="009512CD"/>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194"/>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017C"/>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EA8"/>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2AC5"/>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1695"/>
    <w:rsid w:val="00D32636"/>
    <w:rsid w:val="00D40DC6"/>
    <w:rsid w:val="00D46509"/>
    <w:rsid w:val="00D61F75"/>
    <w:rsid w:val="00D67C62"/>
    <w:rsid w:val="00D7164E"/>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1C7B"/>
    <w:rsid w:val="00E87016"/>
    <w:rsid w:val="00E87594"/>
    <w:rsid w:val="00E97471"/>
    <w:rsid w:val="00EA7FAD"/>
    <w:rsid w:val="00EB3128"/>
    <w:rsid w:val="00EB7E37"/>
    <w:rsid w:val="00ED024C"/>
    <w:rsid w:val="00ED4032"/>
    <w:rsid w:val="00ED4FB2"/>
    <w:rsid w:val="00ED574A"/>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Normlnweb">
    <w:name w:val="Normal (Web)"/>
    <w:basedOn w:val="Normln"/>
    <w:semiHidden/>
    <w:unhideWhenUsed/>
    <w:rsid w:val="00ED57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Normlnweb">
    <w:name w:val="Normal (Web)"/>
    <w:basedOn w:val="Normln"/>
    <w:semiHidden/>
    <w:unhideWhenUsed/>
    <w:rsid w:val="00ED57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3255944">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290401363">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6199584">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4140-F42D-4833-96C0-270FA38D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4504</Words>
  <Characters>27556</Characters>
  <Application>Microsoft Office Word</Application>
  <DocSecurity>0</DocSecurity>
  <Lines>229</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2020-03-05T07:14:00Z</cp:lastPrinted>
  <dcterms:created xsi:type="dcterms:W3CDTF">2020-03-05T07:13:00Z</dcterms:created>
  <dcterms:modified xsi:type="dcterms:W3CDTF">2020-03-05T07:14:00Z</dcterms:modified>
</cp:coreProperties>
</file>